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jc w:val="left"/>
      </w:pPr>
      <w:r>
        <w:rPr>
          <w:rFonts w:ascii="Inter" w:cs="Inter" w:eastAsia="Inter" w:hAnsi="Inter"/>
          <w:b/>
          <w:bCs/>
          <w:color w:val="466B3E"/>
          <w:sz w:val="32"/>
          <w:szCs w:val="32"/>
        </w:rPr>
        <w:t xml:space="preserve">ESGrip</w:t>
      </w:r>
    </w:p>
    <w:p>
      <w:pPr>
        <w:spacing w:after="480"/>
      </w:pPr>
      <w:r>
        <w:rPr>
          <w:rFonts w:ascii="Inter" w:cs="Inter" w:eastAsia="Inter" w:hAnsi="Inter"/>
          <w:i/>
          <w:iCs/>
          <w:color w:val="3C423C"/>
          <w:sz w:val="18"/>
          <w:szCs w:val="18"/>
        </w:rPr>
        <w:t xml:space="preserve">Get a grip on ESG</w:t>
      </w:r>
    </w:p>
    <w:p>
      <w:pPr>
        <w:spacing w:after="120"/>
      </w:pPr>
      <w:r>
        <w:rPr>
          <w:rFonts w:ascii="Inter" w:cs="Inter" w:eastAsia="Inter" w:hAnsi="Inter"/>
          <w:b/>
          <w:bCs/>
          <w:color w:val="1C1F1D"/>
          <w:sz w:val="44"/>
          <w:szCs w:val="44"/>
        </w:rPr>
        <w:t xml:space="preserve">Plan de suivi biodiversité</w:t>
      </w:r>
    </w:p>
    <w:p>
      <w:pPr>
        <w:spacing w:after="360"/>
      </w:pPr>
      <w:r>
        <w:rPr>
          <w:rFonts w:ascii="Inter" w:cs="Inter" w:eastAsia="Inter" w:hAnsi="Inter"/>
          <w:i/>
          <w:iCs/>
          <w:color w:val="3C423C"/>
          <w:sz w:val="22"/>
          <w:szCs w:val="22"/>
        </w:rPr>
        <w:t xml:space="preserve">Conforme à la Performance Standard 6 de l'IFC (conservation de la biodiversité et gestion durable des ressources naturelles vivantes)</w:t>
      </w:r>
    </w:p>
    <w:p>
      <w:pPr>
        <w:spacing w:after="120" w:line="320"/>
        <w:jc w:val="both"/>
      </w:pPr>
      <w:r>
        <w:rPr>
          <w:rFonts w:ascii="Inter" w:cs="Inter" w:eastAsia="Inter" w:hAnsi="Inter"/>
          <w:color w:val="3C423C"/>
          <w:sz w:val="22"/>
          <w:szCs w:val="22"/>
        </w:rPr>
        <w:t xml:space="preserve">Ce gabarit structure un plan de suivi biodiversité pour un projet d'infrastructure soumis aux exigences de la PS6 de l'IFC ou des Sauvegardes Opérationnelles équivalentes. Il s'utilise en complément de l'étude d'impact biodiversité (BIA) et du Biodiversity Action Plan (BAP).</w:t>
      </w:r>
    </w:p>
    <w:p>
      <w:pPr>
        <w:pStyle w:val="Heading1"/>
        <w:spacing w:after="180" w:before="360"/>
      </w:pPr>
      <w:r>
        <w:rPr>
          <w:rFonts w:ascii="Inter" w:cs="Inter" w:eastAsia="Inter" w:hAnsi="Inter"/>
          <w:b/>
          <w:bCs/>
          <w:color w:val="466B3E"/>
          <w:sz w:val="32"/>
          <w:szCs w:val="32"/>
        </w:rPr>
        <w:t xml:space="preserve">1. Cadre du suivi</w:t>
      </w:r>
    </w:p>
    <w:p>
      <w:pPr>
        <w:pStyle w:val="Heading2"/>
        <w:spacing w:after="120" w:before="240"/>
      </w:pPr>
      <w:r>
        <w:rPr>
          <w:rFonts w:ascii="Inter" w:cs="Inter" w:eastAsia="Inter" w:hAnsi="Inter"/>
          <w:b/>
          <w:bCs/>
          <w:color w:val="466B3E"/>
          <w:sz w:val="24"/>
          <w:szCs w:val="24"/>
        </w:rPr>
        <w:t xml:space="preserve">1.1 Périmètre du projet et zone d'influence</w:t>
      </w:r>
    </w:p>
    <w:p>
      <w:pPr>
        <w:spacing w:after="120" w:line="320"/>
        <w:jc w:val="both"/>
      </w:pPr>
      <w:r>
        <w:rPr>
          <w:rFonts w:ascii="Inter" w:cs="Inter" w:eastAsia="Inter" w:hAnsi="Inter"/>
          <w:color w:val="1C1F1D"/>
          <w:sz w:val="22"/>
          <w:szCs w:val="22"/>
        </w:rPr>
        <w:t xml:space="preserve">Décrire le périmètre direct du projet, sa zone d'influence directe et indirecte, et les habitats critiques identifiés au sens du paragraphe 16 de la PS6 (habitats prioritaires pour les espèces menacées, endémiques, restreintes, ou ayant une importance évolutive).</w:t>
      </w:r>
    </w:p>
    <w:p>
      <w:pPr>
        <w:pStyle w:val="Heading2"/>
        <w:spacing w:after="120" w:before="240"/>
      </w:pPr>
      <w:r>
        <w:rPr>
          <w:rFonts w:ascii="Inter" w:cs="Inter" w:eastAsia="Inter" w:hAnsi="Inter"/>
          <w:b/>
          <w:bCs/>
          <w:color w:val="466B3E"/>
          <w:sz w:val="24"/>
          <w:szCs w:val="24"/>
        </w:rPr>
        <w:t xml:space="preserve">1.2 Espèces et habitats prioritaires</w:t>
      </w:r>
    </w:p>
    <w:p>
      <w:pPr>
        <w:spacing w:after="120" w:line="320"/>
        <w:jc w:val="both"/>
      </w:pPr>
      <w:r>
        <w:rPr>
          <w:rFonts w:ascii="Inter" w:cs="Inter" w:eastAsia="Inter" w:hAnsi="Inter"/>
          <w:color w:val="1C1F1D"/>
          <w:sz w:val="22"/>
          <w:szCs w:val="22"/>
        </w:rPr>
        <w:t xml:space="preserve">Lister les valeurs de biodiversité prioritaires (PBV) déterminées par l'étude d'impact : espèces UICN En Danger Critique, En Danger, Vulnérables ; habitats critiques ; aires protégées ; corridors écologiques.</w:t>
      </w:r>
    </w:p>
    <w:p>
      <w:pPr>
        <w:pStyle w:val="Heading2"/>
        <w:spacing w:after="120" w:before="240"/>
      </w:pPr>
      <w:r>
        <w:rPr>
          <w:rFonts w:ascii="Inter" w:cs="Inter" w:eastAsia="Inter" w:hAnsi="Inter"/>
          <w:b/>
          <w:bCs/>
          <w:color w:val="466B3E"/>
          <w:sz w:val="24"/>
          <w:szCs w:val="24"/>
        </w:rPr>
        <w:t xml:space="preserve">1.3 Engagements du projet et objectifs de suivi</w:t>
      </w:r>
    </w:p>
    <w:p>
      <w:pPr>
        <w:spacing w:after="120" w:line="320"/>
        <w:jc w:val="both"/>
      </w:pPr>
      <w:r>
        <w:rPr>
          <w:rFonts w:ascii="Inter" w:cs="Inter" w:eastAsia="Inter" w:hAnsi="Inter"/>
          <w:color w:val="1C1F1D"/>
          <w:sz w:val="22"/>
          <w:szCs w:val="22"/>
        </w:rPr>
        <w:t xml:space="preserve">Reformuler les engagements pris dans le BAP : maintien, restauration, no-net-loss, net gain. Préciser pour chaque engagement l'indicateur retenu et la cible quantifiée.</w:t>
      </w:r>
    </w:p>
    <w:p>
      <w:pPr>
        <w:pStyle w:val="Heading1"/>
        <w:spacing w:after="180" w:before="360"/>
      </w:pPr>
      <w:r>
        <w:rPr>
          <w:rFonts w:ascii="Inter" w:cs="Inter" w:eastAsia="Inter" w:hAnsi="Inter"/>
          <w:b/>
          <w:bCs/>
          <w:color w:val="466B3E"/>
          <w:sz w:val="32"/>
          <w:szCs w:val="32"/>
        </w:rPr>
        <w:t xml:space="preserve">2. Indicateurs et protocoles de suivi</w:t>
      </w:r>
    </w:p>
    <w:tbl>
      <w:tblPr>
        <w:tblW w:type="pct" w:w="100%"/>
        <w:tblBorders>
          <w:top w:val="single" w:color="auto" w:sz="4"/>
          <w:left w:val="single" w:color="auto" w:sz="4"/>
          <w:bottom w:val="single" w:color="auto" w:sz="4"/>
          <w:right w:val="single" w:color="auto" w:sz="4"/>
          <w:insideH w:val="single" w:color="auto" w:sz="4"/>
          <w:insideV w:val="single" w:color="auto" w:sz="4"/>
        </w:tblBorders>
      </w:tblPr>
      <w:tblGrid>
        <w:gridCol w:w="100"/>
        <w:gridCol w:w="100"/>
        <w:gridCol w:w="100"/>
        <w:gridCol w:w="100"/>
        <w:gridCol w:w="100"/>
      </w:tblGrid>
      <w:tr>
        <w:trPr>
          <w:tblHeader/>
        </w:trPr>
        <w:tc>
          <w:tcPr>
            <w:shd w:fill="466B3E" w:color="auto" w:val="clear"/>
          </w:tcPr>
          <w:p>
            <w:r>
              <w:rPr>
                <w:rFonts w:ascii="Inter" w:cs="Inter" w:eastAsia="Inter" w:hAnsi="Inter"/>
                <w:b/>
                <w:bCs/>
                <w:color w:val="FFFFFF"/>
                <w:sz w:val="20"/>
                <w:szCs w:val="20"/>
              </w:rPr>
              <w:t xml:space="preserve">Composante</w:t>
            </w:r>
          </w:p>
        </w:tc>
        <w:tc>
          <w:tcPr>
            <w:shd w:fill="466B3E" w:color="auto" w:val="clear"/>
          </w:tcPr>
          <w:p>
            <w:r>
              <w:rPr>
                <w:rFonts w:ascii="Inter" w:cs="Inter" w:eastAsia="Inter" w:hAnsi="Inter"/>
                <w:b/>
                <w:bCs/>
                <w:color w:val="FFFFFF"/>
                <w:sz w:val="20"/>
                <w:szCs w:val="20"/>
              </w:rPr>
              <w:t xml:space="preserve">Indicateur</w:t>
            </w:r>
          </w:p>
        </w:tc>
        <w:tc>
          <w:tcPr>
            <w:shd w:fill="466B3E" w:color="auto" w:val="clear"/>
          </w:tcPr>
          <w:p>
            <w:r>
              <w:rPr>
                <w:rFonts w:ascii="Inter" w:cs="Inter" w:eastAsia="Inter" w:hAnsi="Inter"/>
                <w:b/>
                <w:bCs/>
                <w:color w:val="FFFFFF"/>
                <w:sz w:val="20"/>
                <w:szCs w:val="20"/>
              </w:rPr>
              <w:t xml:space="preserve">Protocole</w:t>
            </w:r>
          </w:p>
        </w:tc>
        <w:tc>
          <w:tcPr>
            <w:shd w:fill="466B3E" w:color="auto" w:val="clear"/>
          </w:tcPr>
          <w:p>
            <w:r>
              <w:rPr>
                <w:rFonts w:ascii="Inter" w:cs="Inter" w:eastAsia="Inter" w:hAnsi="Inter"/>
                <w:b/>
                <w:bCs/>
                <w:color w:val="FFFFFF"/>
                <w:sz w:val="20"/>
                <w:szCs w:val="20"/>
              </w:rPr>
              <w:t xml:space="preserve">Fréquence</w:t>
            </w:r>
          </w:p>
        </w:tc>
        <w:tc>
          <w:tcPr>
            <w:shd w:fill="466B3E" w:color="auto" w:val="clear"/>
          </w:tcPr>
          <w:p>
            <w:r>
              <w:rPr>
                <w:rFonts w:ascii="Inter" w:cs="Inter" w:eastAsia="Inter" w:hAnsi="Inter"/>
                <w:b/>
                <w:bCs/>
                <w:color w:val="FFFFFF"/>
                <w:sz w:val="20"/>
                <w:szCs w:val="20"/>
              </w:rPr>
              <w:t xml:space="preserve">Cible</w:t>
            </w:r>
          </w:p>
        </w:tc>
      </w:tr>
      <w:tr>
        <w:tc>
          <w:p>
            <w:r>
              <w:rPr>
                <w:rFonts w:ascii="Inter" w:cs="Inter" w:eastAsia="Inter" w:hAnsi="Inter"/>
                <w:color w:val="1C1F1D"/>
                <w:sz w:val="20"/>
                <w:szCs w:val="20"/>
              </w:rPr>
              <w:t xml:space="preserve">Flore</w:t>
            </w:r>
          </w:p>
        </w:tc>
        <w:tc>
          <w:p>
            <w:r>
              <w:rPr>
                <w:rFonts w:ascii="Inter" w:cs="Inter" w:eastAsia="Inter" w:hAnsi="Inter"/>
                <w:color w:val="1C1F1D"/>
                <w:sz w:val="20"/>
                <w:szCs w:val="20"/>
              </w:rPr>
              <w:t xml:space="preserve">Recouvrement par strate, richesse spécifique</w:t>
            </w:r>
          </w:p>
        </w:tc>
        <w:tc>
          <w:p>
            <w:r>
              <w:rPr>
                <w:rFonts w:ascii="Inter" w:cs="Inter" w:eastAsia="Inter" w:hAnsi="Inter"/>
                <w:color w:val="1C1F1D"/>
                <w:sz w:val="20"/>
                <w:szCs w:val="20"/>
              </w:rPr>
              <w:t xml:space="preserve">Quadrats permanents 25 m² (n ≥ 30)</w:t>
            </w:r>
          </w:p>
        </w:tc>
        <w:tc>
          <w:p>
            <w:r>
              <w:rPr>
                <w:rFonts w:ascii="Inter" w:cs="Inter" w:eastAsia="Inter" w:hAnsi="Inter"/>
                <w:color w:val="1C1F1D"/>
                <w:sz w:val="20"/>
                <w:szCs w:val="20"/>
              </w:rPr>
              <w:t xml:space="preserve">2×/an (saisons sèche et humide)</w:t>
            </w:r>
          </w:p>
        </w:tc>
        <w:tc>
          <w:p>
            <w:r>
              <w:rPr>
                <w:rFonts w:ascii="Inter" w:cs="Inter" w:eastAsia="Inter" w:hAnsi="Inter"/>
                <w:color w:val="1C1F1D"/>
                <w:sz w:val="20"/>
                <w:szCs w:val="20"/>
              </w:rPr>
              <w:t xml:space="preserve">Maintien sur 5 ans</w:t>
            </w:r>
          </w:p>
        </w:tc>
      </w:tr>
      <w:tr>
        <w:tc>
          <w:p>
            <w:r>
              <w:rPr>
                <w:rFonts w:ascii="Inter" w:cs="Inter" w:eastAsia="Inter" w:hAnsi="Inter"/>
                <w:color w:val="1C1F1D"/>
                <w:sz w:val="20"/>
                <w:szCs w:val="20"/>
              </w:rPr>
              <w:t xml:space="preserve">Faune terrestre</w:t>
            </w:r>
          </w:p>
        </w:tc>
        <w:tc>
          <w:p>
            <w:r>
              <w:rPr>
                <w:rFonts w:ascii="Inter" w:cs="Inter" w:eastAsia="Inter" w:hAnsi="Inter"/>
                <w:color w:val="1C1F1D"/>
                <w:sz w:val="20"/>
                <w:szCs w:val="20"/>
              </w:rPr>
              <w:t xml:space="preserve">Indice ponctuel d'abondance (IPA), pièges photo</w:t>
            </w:r>
          </w:p>
        </w:tc>
        <w:tc>
          <w:p>
            <w:r>
              <w:rPr>
                <w:rFonts w:ascii="Inter" w:cs="Inter" w:eastAsia="Inter" w:hAnsi="Inter"/>
                <w:color w:val="1C1F1D"/>
                <w:sz w:val="20"/>
                <w:szCs w:val="20"/>
              </w:rPr>
              <w:t xml:space="preserve">Pièges photo, transects linéaires</w:t>
            </w:r>
          </w:p>
        </w:tc>
        <w:tc>
          <w:p>
            <w:r>
              <w:rPr>
                <w:rFonts w:ascii="Inter" w:cs="Inter" w:eastAsia="Inter" w:hAnsi="Inter"/>
                <w:color w:val="1C1F1D"/>
                <w:sz w:val="20"/>
                <w:szCs w:val="20"/>
              </w:rPr>
              <w:t xml:space="preserve">Trimestrielle</w:t>
            </w:r>
          </w:p>
        </w:tc>
        <w:tc>
          <w:p>
            <w:r>
              <w:rPr>
                <w:rFonts w:ascii="Inter" w:cs="Inter" w:eastAsia="Inter" w:hAnsi="Inter"/>
                <w:color w:val="1C1F1D"/>
                <w:sz w:val="20"/>
                <w:szCs w:val="20"/>
              </w:rPr>
              <w:t xml:space="preserve">Pas de déclin &gt; 10 %</w:t>
            </w:r>
          </w:p>
        </w:tc>
      </w:tr>
      <w:tr>
        <w:tc>
          <w:p>
            <w:r>
              <w:rPr>
                <w:rFonts w:ascii="Inter" w:cs="Inter" w:eastAsia="Inter" w:hAnsi="Inter"/>
                <w:color w:val="1C1F1D"/>
                <w:sz w:val="20"/>
                <w:szCs w:val="20"/>
              </w:rPr>
              <w:t xml:space="preserve">Avifaune</w:t>
            </w:r>
          </w:p>
        </w:tc>
        <w:tc>
          <w:p>
            <w:r>
              <w:rPr>
                <w:rFonts w:ascii="Inter" w:cs="Inter" w:eastAsia="Inter" w:hAnsi="Inter"/>
                <w:color w:val="1C1F1D"/>
                <w:sz w:val="20"/>
                <w:szCs w:val="20"/>
              </w:rPr>
              <w:t xml:space="preserve">IPA, EPS-ratio, espèces patrimoniales</w:t>
            </w:r>
          </w:p>
        </w:tc>
        <w:tc>
          <w:p>
            <w:r>
              <w:rPr>
                <w:rFonts w:ascii="Inter" w:cs="Inter" w:eastAsia="Inter" w:hAnsi="Inter"/>
                <w:color w:val="1C1F1D"/>
                <w:sz w:val="20"/>
                <w:szCs w:val="20"/>
              </w:rPr>
              <w:t xml:space="preserve">Points d'écoute IPA (10 min × 5 points)</w:t>
            </w:r>
          </w:p>
        </w:tc>
        <w:tc>
          <w:p>
            <w:r>
              <w:rPr>
                <w:rFonts w:ascii="Inter" w:cs="Inter" w:eastAsia="Inter" w:hAnsi="Inter"/>
                <w:color w:val="1C1F1D"/>
                <w:sz w:val="20"/>
                <w:szCs w:val="20"/>
              </w:rPr>
              <w:t xml:space="preserve">2×/an</w:t>
            </w:r>
          </w:p>
        </w:tc>
        <w:tc>
          <w:p>
            <w:r>
              <w:rPr>
                <w:rFonts w:ascii="Inter" w:cs="Inter" w:eastAsia="Inter" w:hAnsi="Inter"/>
                <w:color w:val="1C1F1D"/>
                <w:sz w:val="20"/>
                <w:szCs w:val="20"/>
              </w:rPr>
              <w:t xml:space="preserve">Maintien des espèces UICN</w:t>
            </w:r>
          </w:p>
        </w:tc>
      </w:tr>
      <w:tr>
        <w:tc>
          <w:p>
            <w:r>
              <w:rPr>
                <w:rFonts w:ascii="Inter" w:cs="Inter" w:eastAsia="Inter" w:hAnsi="Inter"/>
                <w:color w:val="1C1F1D"/>
                <w:sz w:val="20"/>
                <w:szCs w:val="20"/>
              </w:rPr>
              <w:t xml:space="preserve">Chiroptères</w:t>
            </w:r>
          </w:p>
        </w:tc>
        <w:tc>
          <w:p>
            <w:r>
              <w:rPr>
                <w:rFonts w:ascii="Inter" w:cs="Inter" w:eastAsia="Inter" w:hAnsi="Inter"/>
                <w:color w:val="1C1F1D"/>
                <w:sz w:val="20"/>
                <w:szCs w:val="20"/>
              </w:rPr>
              <w:t xml:space="preserve">Activité acoustique (passes/h)</w:t>
            </w:r>
          </w:p>
        </w:tc>
        <w:tc>
          <w:p>
            <w:r>
              <w:rPr>
                <w:rFonts w:ascii="Inter" w:cs="Inter" w:eastAsia="Inter" w:hAnsi="Inter"/>
                <w:color w:val="1C1F1D"/>
                <w:sz w:val="20"/>
                <w:szCs w:val="20"/>
              </w:rPr>
              <w:t xml:space="preserve">Détecteurs SM4BAT, 4 nuits/saison</w:t>
            </w:r>
          </w:p>
        </w:tc>
        <w:tc>
          <w:p>
            <w:r>
              <w:rPr>
                <w:rFonts w:ascii="Inter" w:cs="Inter" w:eastAsia="Inter" w:hAnsi="Inter"/>
                <w:color w:val="1C1F1D"/>
                <w:sz w:val="20"/>
                <w:szCs w:val="20"/>
              </w:rPr>
              <w:t xml:space="preserve">Saisonnière</w:t>
            </w:r>
          </w:p>
        </w:tc>
        <w:tc>
          <w:p>
            <w:r>
              <w:rPr>
                <w:rFonts w:ascii="Inter" w:cs="Inter" w:eastAsia="Inter" w:hAnsi="Inter"/>
                <w:color w:val="1C1F1D"/>
                <w:sz w:val="20"/>
                <w:szCs w:val="20"/>
              </w:rPr>
              <w:t xml:space="preserve">Pas de déclin</w:t>
            </w:r>
          </w:p>
        </w:tc>
      </w:tr>
      <w:tr>
        <w:tc>
          <w:p>
            <w:r>
              <w:rPr>
                <w:rFonts w:ascii="Inter" w:cs="Inter" w:eastAsia="Inter" w:hAnsi="Inter"/>
                <w:color w:val="1C1F1D"/>
                <w:sz w:val="20"/>
                <w:szCs w:val="20"/>
              </w:rPr>
              <w:t xml:space="preserve">Cours d'eau</w:t>
            </w:r>
          </w:p>
        </w:tc>
        <w:tc>
          <w:p>
            <w:r>
              <w:rPr>
                <w:rFonts w:ascii="Inter" w:cs="Inter" w:eastAsia="Inter" w:hAnsi="Inter"/>
                <w:color w:val="1C1F1D"/>
                <w:sz w:val="20"/>
                <w:szCs w:val="20"/>
              </w:rPr>
              <w:t xml:space="preserve">IBGN, IBMR, qualité physico-chimique</w:t>
            </w:r>
          </w:p>
        </w:tc>
        <w:tc>
          <w:p>
            <w:r>
              <w:rPr>
                <w:rFonts w:ascii="Inter" w:cs="Inter" w:eastAsia="Inter" w:hAnsi="Inter"/>
                <w:color w:val="1C1F1D"/>
                <w:sz w:val="20"/>
                <w:szCs w:val="20"/>
              </w:rPr>
              <w:t xml:space="preserve">Échantillonnage normalisé NF T 90-350</w:t>
            </w:r>
          </w:p>
        </w:tc>
        <w:tc>
          <w:p>
            <w:r>
              <w:rPr>
                <w:rFonts w:ascii="Inter" w:cs="Inter" w:eastAsia="Inter" w:hAnsi="Inter"/>
                <w:color w:val="1C1F1D"/>
                <w:sz w:val="20"/>
                <w:szCs w:val="20"/>
              </w:rPr>
              <w:t xml:space="preserve">Semestrielle</w:t>
            </w:r>
          </w:p>
        </w:tc>
        <w:tc>
          <w:p>
            <w:r>
              <w:rPr>
                <w:rFonts w:ascii="Inter" w:cs="Inter" w:eastAsia="Inter" w:hAnsi="Inter"/>
                <w:color w:val="1C1F1D"/>
                <w:sz w:val="20"/>
                <w:szCs w:val="20"/>
              </w:rPr>
              <w:t xml:space="preserve">État écologique ≥ bon</w:t>
            </w:r>
          </w:p>
        </w:tc>
      </w:tr>
      <w:tr>
        <w:tc>
          <w:p>
            <w:r>
              <w:rPr>
                <w:rFonts w:ascii="Inter" w:cs="Inter" w:eastAsia="Inter" w:hAnsi="Inter"/>
                <w:color w:val="1C1F1D"/>
                <w:sz w:val="20"/>
                <w:szCs w:val="20"/>
              </w:rPr>
              <w:t xml:space="preserve">Compensation</w:t>
            </w:r>
          </w:p>
        </w:tc>
        <w:tc>
          <w:p>
            <w:r>
              <w:rPr>
                <w:rFonts w:ascii="Inter" w:cs="Inter" w:eastAsia="Inter" w:hAnsi="Inter"/>
                <w:color w:val="1C1F1D"/>
                <w:sz w:val="20"/>
                <w:szCs w:val="20"/>
              </w:rPr>
              <w:t xml:space="preserve">Surface restaurée, taux de reprise</w:t>
            </w:r>
          </w:p>
        </w:tc>
        <w:tc>
          <w:p>
            <w:r>
              <w:rPr>
                <w:rFonts w:ascii="Inter" w:cs="Inter" w:eastAsia="Inter" w:hAnsi="Inter"/>
                <w:color w:val="1C1F1D"/>
                <w:sz w:val="20"/>
                <w:szCs w:val="20"/>
              </w:rPr>
              <w:t xml:space="preserve">Inventaire floristique, mortalité plants</w:t>
            </w:r>
          </w:p>
        </w:tc>
        <w:tc>
          <w:p>
            <w:r>
              <w:rPr>
                <w:rFonts w:ascii="Inter" w:cs="Inter" w:eastAsia="Inter" w:hAnsi="Inter"/>
                <w:color w:val="1C1F1D"/>
                <w:sz w:val="20"/>
                <w:szCs w:val="20"/>
              </w:rPr>
              <w:t xml:space="preserve">Annuelle (5 ans)</w:t>
            </w:r>
          </w:p>
        </w:tc>
        <w:tc>
          <w:p>
            <w:r>
              <w:rPr>
                <w:rFonts w:ascii="Inter" w:cs="Inter" w:eastAsia="Inter" w:hAnsi="Inter"/>
                <w:color w:val="1C1F1D"/>
                <w:sz w:val="20"/>
                <w:szCs w:val="20"/>
              </w:rPr>
              <w:t xml:space="preserve">Reprise ≥ 80 %</w:t>
            </w:r>
          </w:p>
        </w:tc>
      </w:tr>
    </w:tbl>
    <w:p>
      <w:pPr>
        <w:pStyle w:val="Heading1"/>
        <w:spacing w:after="180" w:before="360"/>
      </w:pPr>
      <w:r>
        <w:rPr>
          <w:rFonts w:ascii="Inter" w:cs="Inter" w:eastAsia="Inter" w:hAnsi="Inter"/>
          <w:b/>
          <w:bCs/>
          <w:color w:val="466B3E"/>
          <w:sz w:val="32"/>
          <w:szCs w:val="32"/>
        </w:rPr>
        <w:t xml:space="preserve">3. Gouvernance et reporting</w:t>
      </w:r>
    </w:p>
    <w:p>
      <w:pPr>
        <w:pStyle w:val="Heading2"/>
        <w:spacing w:after="120" w:before="240"/>
      </w:pPr>
      <w:r>
        <w:rPr>
          <w:rFonts w:ascii="Inter" w:cs="Inter" w:eastAsia="Inter" w:hAnsi="Inter"/>
          <w:b/>
          <w:bCs/>
          <w:color w:val="466B3E"/>
          <w:sz w:val="24"/>
          <w:szCs w:val="24"/>
        </w:rPr>
        <w:t xml:space="preserve">3.1 Équipe et responsabilités</w:t>
      </w:r>
    </w:p>
    <w:p>
      <w:pPr>
        <w:pStyle w:val="ListParagraph"/>
        <w:numPr>
          <w:ilvl w:val="0"/>
          <w:numId w:val="1"/>
        </w:numPr>
        <w:spacing w:after="80"/>
      </w:pPr>
      <w:r>
        <w:rPr>
          <w:rFonts w:ascii="Inter" w:cs="Inter" w:eastAsia="Inter" w:hAnsi="Inter"/>
          <w:color w:val="1C1F1D"/>
          <w:sz w:val="22"/>
          <w:szCs w:val="22"/>
        </w:rPr>
        <w:t xml:space="preserve">Responsable biodiversité projet (RBP) — pilotage du plan, interface bailleur.</w:t>
      </w:r>
    </w:p>
    <w:p>
      <w:pPr>
        <w:pStyle w:val="ListParagraph"/>
        <w:numPr>
          <w:ilvl w:val="0"/>
          <w:numId w:val="1"/>
        </w:numPr>
        <w:spacing w:after="80"/>
      </w:pPr>
      <w:r>
        <w:rPr>
          <w:rFonts w:ascii="Inter" w:cs="Inter" w:eastAsia="Inter" w:hAnsi="Inter"/>
          <w:color w:val="1C1F1D"/>
          <w:sz w:val="22"/>
          <w:szCs w:val="22"/>
        </w:rPr>
        <w:t xml:space="preserve">Bureau d'études écologue indépendant — collecte, analyse, validation scientifique.</w:t>
      </w:r>
    </w:p>
    <w:p>
      <w:pPr>
        <w:pStyle w:val="ListParagraph"/>
        <w:numPr>
          <w:ilvl w:val="0"/>
          <w:numId w:val="1"/>
        </w:numPr>
        <w:spacing w:after="80"/>
      </w:pPr>
      <w:r>
        <w:rPr>
          <w:rFonts w:ascii="Inter" w:cs="Inter" w:eastAsia="Inter" w:hAnsi="Inter"/>
          <w:color w:val="1C1F1D"/>
          <w:sz w:val="22"/>
          <w:szCs w:val="22"/>
        </w:rPr>
        <w:t xml:space="preserve">Tiers expert (panel scientifique) — revue annuelle pour les habitats critiques (PS6 §17).</w:t>
      </w:r>
    </w:p>
    <w:p>
      <w:pPr>
        <w:pStyle w:val="Heading2"/>
        <w:spacing w:after="120" w:before="240"/>
      </w:pPr>
      <w:r>
        <w:rPr>
          <w:rFonts w:ascii="Inter" w:cs="Inter" w:eastAsia="Inter" w:hAnsi="Inter"/>
          <w:b/>
          <w:bCs/>
          <w:color w:val="466B3E"/>
          <w:sz w:val="24"/>
          <w:szCs w:val="24"/>
        </w:rPr>
        <w:t xml:space="preserve">3.2 Rapportage</w:t>
      </w:r>
    </w:p>
    <w:p>
      <w:pPr>
        <w:pStyle w:val="ListParagraph"/>
        <w:numPr>
          <w:ilvl w:val="0"/>
          <w:numId w:val="1"/>
        </w:numPr>
        <w:spacing w:after="80"/>
      </w:pPr>
      <w:r>
        <w:rPr>
          <w:rFonts w:ascii="Inter" w:cs="Inter" w:eastAsia="Inter" w:hAnsi="Inter"/>
          <w:color w:val="1C1F1D"/>
          <w:sz w:val="22"/>
          <w:szCs w:val="22"/>
        </w:rPr>
        <w:t xml:space="preserve">Rapport semestriel interne — données brutes, écarts, actions correctives.</w:t>
      </w:r>
    </w:p>
    <w:p>
      <w:pPr>
        <w:pStyle w:val="ListParagraph"/>
        <w:numPr>
          <w:ilvl w:val="0"/>
          <w:numId w:val="1"/>
        </w:numPr>
        <w:spacing w:after="80"/>
      </w:pPr>
      <w:r>
        <w:rPr>
          <w:rFonts w:ascii="Inter" w:cs="Inter" w:eastAsia="Inter" w:hAnsi="Inter"/>
          <w:color w:val="1C1F1D"/>
          <w:sz w:val="22"/>
          <w:szCs w:val="22"/>
        </w:rPr>
        <w:t xml:space="preserve">Rapport annuel public — synthèse des indicateurs, conformité aux engagements, plan d'action de l'année suivante.</w:t>
      </w:r>
    </w:p>
    <w:p>
      <w:pPr>
        <w:pStyle w:val="ListParagraph"/>
        <w:numPr>
          <w:ilvl w:val="0"/>
          <w:numId w:val="1"/>
        </w:numPr>
        <w:spacing w:after="80"/>
      </w:pPr>
      <w:r>
        <w:rPr>
          <w:rFonts w:ascii="Inter" w:cs="Inter" w:eastAsia="Inter" w:hAnsi="Inter"/>
          <w:color w:val="1C1F1D"/>
          <w:sz w:val="22"/>
          <w:szCs w:val="22"/>
        </w:rPr>
        <w:t xml:space="preserve">Rapport de clôture — bilan no-net-loss / net gain à la fin de la période d'engagement.</w:t>
      </w:r>
    </w:p>
    <w:p>
      <w:pPr>
        <w:pStyle w:val="Heading1"/>
        <w:spacing w:after="180" w:before="360"/>
      </w:pPr>
      <w:r>
        <w:rPr>
          <w:rFonts w:ascii="Inter" w:cs="Inter" w:eastAsia="Inter" w:hAnsi="Inter"/>
          <w:b/>
          <w:bCs/>
          <w:color w:val="466B3E"/>
          <w:sz w:val="32"/>
          <w:szCs w:val="32"/>
        </w:rPr>
        <w:t xml:space="preserve">4. Plan d'adaptation et seuils d'alerte</w:t>
      </w:r>
    </w:p>
    <w:p>
      <w:pPr>
        <w:spacing w:after="120" w:line="320"/>
        <w:jc w:val="both"/>
      </w:pPr>
      <w:r>
        <w:rPr>
          <w:rFonts w:ascii="Inter" w:cs="Inter" w:eastAsia="Inter" w:hAnsi="Inter"/>
          <w:color w:val="1C1F1D"/>
          <w:sz w:val="22"/>
          <w:szCs w:val="22"/>
        </w:rPr>
        <w:t xml:space="preserve">Définir un système de feux tricolores : vert (conformité), orange (déviation &lt; 20 %, mesures correctives), rouge (déviation &gt; 20 %, plan d'adaptation soumis au bailleur sous 30 jours).</w:t>
      </w:r>
    </w:p>
    <w:p>
      <w:r>
        <w:br w:type="page"/>
      </w:r>
    </w:p>
    <w:p>
      <w:pPr>
        <w:pStyle w:val="Heading1"/>
        <w:spacing w:after="180" w:before="360"/>
      </w:pPr>
      <w:r>
        <w:rPr>
          <w:rFonts w:ascii="Inter" w:cs="Inter" w:eastAsia="Inter" w:hAnsi="Inter"/>
          <w:b/>
          <w:bCs/>
          <w:color w:val="466B3E"/>
          <w:sz w:val="32"/>
          <w:szCs w:val="32"/>
        </w:rPr>
        <w:t xml:space="preserve">5. Annexes</w:t>
      </w:r>
    </w:p>
    <w:p>
      <w:pPr>
        <w:pStyle w:val="ListParagraph"/>
        <w:numPr>
          <w:ilvl w:val="0"/>
          <w:numId w:val="1"/>
        </w:numPr>
        <w:spacing w:after="80"/>
      </w:pPr>
      <w:r>
        <w:rPr>
          <w:rFonts w:ascii="Inter" w:cs="Inter" w:eastAsia="Inter" w:hAnsi="Inter"/>
          <w:color w:val="1C1F1D"/>
          <w:sz w:val="22"/>
          <w:szCs w:val="22"/>
        </w:rPr>
        <w:t xml:space="preserve">Cartographie des stations de suivi (couches SIG, formats SHP/GeoJSON).</w:t>
      </w:r>
    </w:p>
    <w:p>
      <w:pPr>
        <w:pStyle w:val="ListParagraph"/>
        <w:numPr>
          <w:ilvl w:val="0"/>
          <w:numId w:val="1"/>
        </w:numPr>
        <w:spacing w:after="80"/>
      </w:pPr>
      <w:r>
        <w:rPr>
          <w:rFonts w:ascii="Inter" w:cs="Inter" w:eastAsia="Inter" w:hAnsi="Inter"/>
          <w:color w:val="1C1F1D"/>
          <w:sz w:val="22"/>
          <w:szCs w:val="22"/>
        </w:rPr>
        <w:t xml:space="preserve">Fiches de relevé terrain (PDF imprimables et version mobile).</w:t>
      </w:r>
    </w:p>
    <w:p>
      <w:pPr>
        <w:pStyle w:val="ListParagraph"/>
        <w:numPr>
          <w:ilvl w:val="0"/>
          <w:numId w:val="1"/>
        </w:numPr>
        <w:spacing w:after="80"/>
      </w:pPr>
      <w:r>
        <w:rPr>
          <w:rFonts w:ascii="Inter" w:cs="Inter" w:eastAsia="Inter" w:hAnsi="Inter"/>
          <w:color w:val="1C1F1D"/>
          <w:sz w:val="22"/>
          <w:szCs w:val="22"/>
        </w:rPr>
        <w:t xml:space="preserve">Protocoles détaillés par taxon (PDF de référence).</w:t>
      </w:r>
    </w:p>
    <w:p>
      <w:pPr>
        <w:pStyle w:val="ListParagraph"/>
        <w:numPr>
          <w:ilvl w:val="0"/>
          <w:numId w:val="1"/>
        </w:numPr>
        <w:spacing w:after="80"/>
      </w:pPr>
      <w:r>
        <w:rPr>
          <w:rFonts w:ascii="Inter" w:cs="Inter" w:eastAsia="Inter" w:hAnsi="Inter"/>
          <w:color w:val="1C1F1D"/>
          <w:sz w:val="22"/>
          <w:szCs w:val="22"/>
        </w:rPr>
        <w:t xml:space="preserve">Tableau Excel de saisie et de calcul des indicateurs (fourni avec ce document).</w:t>
      </w:r>
    </w:p>
    <w:p>
      <w:pPr>
        <w:spacing w:before="720"/>
      </w:pPr>
      <w:r>
        <w:rPr>
          <w:rFonts w:ascii="Inter" w:cs="Inter" w:eastAsia="Inter" w:hAnsi="Inter"/>
          <w:i/>
          <w:iCs/>
          <w:color w:val="3C423C"/>
          <w:sz w:val="18"/>
          <w:szCs w:val="18"/>
        </w:rPr>
        <w:t xml:space="preserve">© ESGrip · esgrip.com · Diffusion libre avec mention de la source.</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Inter" w:cs="Inter" w:eastAsia="Inter" w:hAnsi="Inter"/>
        <w:color w:val="1C1F1D"/>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 de suivi biodiversité — IFC PS6</dc:title>
  <dc:creator>ESGrip</dc:creator>
  <cp:lastModifiedBy>Un-named</cp:lastModifiedBy>
  <cp:revision>1</cp:revision>
  <dcterms:created xsi:type="dcterms:W3CDTF">2026-05-05T08:28:30.394Z</dcterms:created>
  <dcterms:modified xsi:type="dcterms:W3CDTF">2026-05-05T08:28:30.394Z</dcterms:modified>
</cp:coreProperties>
</file>

<file path=docProps/custom.xml><?xml version="1.0" encoding="utf-8"?>
<Properties xmlns="http://schemas.openxmlformats.org/officeDocument/2006/custom-properties" xmlns:vt="http://schemas.openxmlformats.org/officeDocument/2006/docPropsVTypes"/>
</file>